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0829" w14:textId="77777777" w:rsidR="00163120" w:rsidRPr="00C24A34" w:rsidRDefault="003B2162" w:rsidP="00EE2AB9">
      <w:pPr>
        <w:spacing w:after="0" w:line="240" w:lineRule="auto"/>
        <w:rPr>
          <w:rFonts w:ascii="Arial" w:hAnsi="Arial" w:cs="Arial"/>
          <w:lang w:val="de-DE"/>
        </w:rPr>
      </w:pPr>
      <w:r>
        <w:rPr>
          <w:rFonts w:ascii="Arial" w:hAnsi="Arial"/>
          <w:noProof/>
        </w:rPr>
        <mc:AlternateContent>
          <mc:Choice Requires="wps">
            <w:drawing>
              <wp:anchor distT="45720" distB="45720" distL="114300" distR="114300" simplePos="0" relativeHeight="251659264" behindDoc="0" locked="0" layoutInCell="1" allowOverlap="1" wp14:anchorId="40C102C3" wp14:editId="433678F8">
                <wp:simplePos x="0" y="0"/>
                <wp:positionH relativeFrom="column">
                  <wp:posOffset>4088765</wp:posOffset>
                </wp:positionH>
                <wp:positionV relativeFrom="paragraph">
                  <wp:posOffset>-383565</wp:posOffset>
                </wp:positionV>
                <wp:extent cx="2226137" cy="1404620"/>
                <wp:effectExtent l="38100" t="285750" r="3175" b="29972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52963">
                          <a:off x="0" y="0"/>
                          <a:ext cx="2226137" cy="1404620"/>
                        </a:xfrm>
                        <a:prstGeom prst="rect">
                          <a:avLst/>
                        </a:prstGeom>
                        <a:noFill/>
                        <a:ln w="9525">
                          <a:noFill/>
                          <a:miter lim="800000"/>
                          <a:headEnd/>
                          <a:tailEnd/>
                        </a:ln>
                      </wps:spPr>
                      <wps:txbx>
                        <w:txbxContent>
                          <w:tbl>
                            <w:tblPr>
                              <w:tblStyle w:val="Grilledutableau"/>
                              <w:tblW w:w="0" w:type="auto"/>
                              <w:tblLook w:val="04A0" w:firstRow="1" w:lastRow="0" w:firstColumn="1" w:lastColumn="0" w:noHBand="0" w:noVBand="1"/>
                            </w:tblPr>
                            <w:tblGrid>
                              <w:gridCol w:w="3118"/>
                            </w:tblGrid>
                            <w:tr w:rsidR="003B2162" w:rsidRPr="003B2162" w14:paraId="7A00BC81" w14:textId="77777777" w:rsidTr="00E47DAF">
                              <w:trPr>
                                <w:trHeight w:val="397"/>
                              </w:trPr>
                              <w:tc>
                                <w:tcPr>
                                  <w:tcW w:w="3118" w:type="dxa"/>
                                  <w:vAlign w:val="center"/>
                                </w:tcPr>
                                <w:p w14:paraId="28590425" w14:textId="77777777" w:rsidR="003B2162" w:rsidRPr="003B2162" w:rsidRDefault="003B2162" w:rsidP="003B2162">
                                  <w:pPr>
                                    <w:jc w:val="center"/>
                                    <w:rPr>
                                      <w:rFonts w:ascii="Times New Roman" w:hAnsi="Times New Roman" w:cs="Times New Roman"/>
                                      <w:b/>
                                      <w:sz w:val="24"/>
                                    </w:rPr>
                                  </w:pPr>
                                  <w:r>
                                    <w:rPr>
                                      <w:rFonts w:ascii="Times New Roman" w:hAnsi="Times New Roman"/>
                                      <w:b/>
                                      <w:sz w:val="24"/>
                                    </w:rPr>
                                    <w:t>Reçu le</w:t>
                                  </w:r>
                                </w:p>
                              </w:tc>
                            </w:tr>
                            <w:tr w:rsidR="003B2162" w:rsidRPr="003B2162" w14:paraId="5C02788A" w14:textId="77777777" w:rsidTr="00E47DAF">
                              <w:trPr>
                                <w:trHeight w:val="567"/>
                              </w:trPr>
                              <w:tc>
                                <w:tcPr>
                                  <w:tcW w:w="3118" w:type="dxa"/>
                                  <w:vAlign w:val="center"/>
                                </w:tcPr>
                                <w:p w14:paraId="094CA27E" w14:textId="77777777" w:rsidR="003B2162" w:rsidRPr="003B2162" w:rsidRDefault="003B2162" w:rsidP="003B2162">
                                  <w:pPr>
                                    <w:jc w:val="center"/>
                                    <w:rPr>
                                      <w:rFonts w:ascii="Times New Roman" w:hAnsi="Times New Roman" w:cs="Times New Roman"/>
                                      <w:b/>
                                      <w:sz w:val="18"/>
                                    </w:rPr>
                                  </w:pPr>
                                  <w:r>
                                    <w:rPr>
                                      <w:rFonts w:ascii="Times New Roman" w:hAnsi="Times New Roman"/>
                                      <w:b/>
                                      <w:sz w:val="18"/>
                                    </w:rPr>
                                    <w:t xml:space="preserve">– </w:t>
                                  </w:r>
                                  <w:r>
                                    <w:rPr>
                                      <w:rFonts w:ascii="Times New Roman" w:hAnsi="Times New Roman"/>
                                      <w:b/>
                                      <w:color w:val="FF0000"/>
                                      <w:sz w:val="18"/>
                                    </w:rPr>
                                    <w:t xml:space="preserve">2 décembre 2023 </w:t>
                                  </w:r>
                                  <w:r>
                                    <w:rPr>
                                      <w:rFonts w:ascii="Times New Roman" w:hAnsi="Times New Roman"/>
                                      <w:b/>
                                      <w:sz w:val="18"/>
                                    </w:rPr>
                                    <w:t>–</w:t>
                                  </w:r>
                                </w:p>
                              </w:tc>
                            </w:tr>
                            <w:tr w:rsidR="003B2162" w:rsidRPr="003B2162" w14:paraId="0ABB7092" w14:textId="77777777" w:rsidTr="00E47DAF">
                              <w:trPr>
                                <w:trHeight w:val="737"/>
                              </w:trPr>
                              <w:tc>
                                <w:tcPr>
                                  <w:tcW w:w="3118" w:type="dxa"/>
                                  <w:vAlign w:val="center"/>
                                </w:tcPr>
                                <w:p w14:paraId="352C151D" w14:textId="7D883DAB" w:rsidR="00E47DAF" w:rsidRDefault="00E47DAF" w:rsidP="00E47DAF">
                                  <w:pPr>
                                    <w:jc w:val="center"/>
                                    <w:rPr>
                                      <w:rFonts w:ascii="Times New Roman" w:hAnsi="Times New Roman" w:cs="Times New Roman"/>
                                      <w:sz w:val="18"/>
                                    </w:rPr>
                                  </w:pPr>
                                  <w:r>
                                    <w:rPr>
                                      <w:rFonts w:ascii="Times New Roman" w:hAnsi="Times New Roman"/>
                                      <w:sz w:val="18"/>
                                    </w:rPr>
                                    <w:t>Conseil d’</w:t>
                                  </w:r>
                                  <w:r w:rsidR="0070107F">
                                    <w:rPr>
                                      <w:rFonts w:ascii="Times New Roman" w:hAnsi="Times New Roman"/>
                                      <w:sz w:val="18"/>
                                    </w:rPr>
                                    <w:t>État</w:t>
                                  </w:r>
                                  <w:r>
                                    <w:rPr>
                                      <w:rFonts w:ascii="Times New Roman" w:hAnsi="Times New Roman"/>
                                      <w:sz w:val="18"/>
                                    </w:rPr>
                                    <w:t xml:space="preserve"> </w:t>
                                  </w:r>
                                  <w:r>
                                    <w:rPr>
                                      <w:rFonts w:ascii="Times New Roman" w:hAnsi="Times New Roman"/>
                                      <w:sz w:val="18"/>
                                    </w:rPr>
                                    <w:br/>
                                    <w:t>Dép. de l’économie</w:t>
                                  </w:r>
                                  <w:r w:rsidR="0070107F">
                                    <w:rPr>
                                      <w:rFonts w:ascii="Times New Roman" w:hAnsi="Times New Roman"/>
                                      <w:sz w:val="18"/>
                                    </w:rPr>
                                    <w:t xml:space="preserve"> </w:t>
                                  </w:r>
                                  <w:r>
                                    <w:rPr>
                                      <w:rFonts w:ascii="Times New Roman" w:hAnsi="Times New Roman"/>
                                      <w:sz w:val="18"/>
                                    </w:rPr>
                                    <w:t>et des affaires intérieures</w:t>
                                  </w:r>
                                </w:p>
                                <w:p w14:paraId="65D72BE2" w14:textId="7732B733" w:rsidR="003B2162" w:rsidRPr="003B2162" w:rsidRDefault="00E47DAF" w:rsidP="00E47DAF">
                                  <w:pPr>
                                    <w:jc w:val="center"/>
                                    <w:rPr>
                                      <w:rFonts w:ascii="Times New Roman" w:hAnsi="Times New Roman" w:cs="Times New Roman"/>
                                      <w:sz w:val="18"/>
                                    </w:rPr>
                                  </w:pPr>
                                  <w:r>
                                    <w:rPr>
                                      <w:rFonts w:ascii="Times New Roman" w:hAnsi="Times New Roman"/>
                                      <w:sz w:val="18"/>
                                    </w:rPr>
                                    <w:t>Service juridique des naturalisations</w:t>
                                  </w:r>
                                </w:p>
                              </w:tc>
                            </w:tr>
                          </w:tbl>
                          <w:p w14:paraId="53DA40FE" w14:textId="77777777" w:rsidR="003B2162" w:rsidRPr="003B2162" w:rsidRDefault="003B2162" w:rsidP="003B2162">
                            <w:pPr>
                              <w:jc w:val="center"/>
                              <w:rPr>
                                <w:rFonts w:ascii="Times New Roman" w:hAnsi="Times New Roman" w:cs="Times New Roman"/>
                                <w:sz w:val="2"/>
                                <w:szCs w:val="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C102C3" id="_x0000_t202" coordsize="21600,21600" o:spt="202" path="m,l,21600r21600,l21600,xe">
                <v:stroke joinstyle="miter"/>
                <v:path gradientshapeok="t" o:connecttype="rect"/>
              </v:shapetype>
              <v:shape id="Textfeld 2" o:spid="_x0000_s1026" type="#_x0000_t202" style="position:absolute;margin-left:321.95pt;margin-top:-30.2pt;width:175.3pt;height:110.6pt;rotation:1259343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" filled="f" stroked="f">
                <v:textbox style="mso-fit-shape-to-text:t">
                  <w:txbxContent>
                    <w:tbl>
                      <w:tblPr>
                        <w:tblStyle w:val="Grilledutableau"/>
                        <w:tblW w:w="0" w:type="auto"/>
                        <w:tblLook w:val="04A0" w:firstRow="1" w:lastRow="0" w:firstColumn="1" w:lastColumn="0" w:noHBand="0" w:noVBand="1"/>
                      </w:tblPr>
                      <w:tblGrid>
                        <w:gridCol w:w="3118"/>
                      </w:tblGrid>
                      <w:tr w:rsidR="003B2162" w:rsidRPr="003B2162" w14:paraId="7A00BC81" w14:textId="77777777" w:rsidTr="00E47DAF">
                        <w:trPr>
                          <w:trHeight w:val="397"/>
                        </w:trPr>
                        <w:tc>
                          <w:tcPr>
                            <w:tcW w:w="3118" w:type="dxa"/>
                            <w:vAlign w:val="center"/>
                          </w:tcPr>
                          <w:p w14:paraId="28590425" w14:textId="77777777" w:rsidR="003B2162" w:rsidRPr="003B2162" w:rsidRDefault="003B2162" w:rsidP="003B2162">
                            <w:pPr>
                              <w:jc w:val="center"/>
                              <w:rPr>
                                <w:rFonts w:ascii="Times New Roman" w:hAnsi="Times New Roman" w:cs="Times New Roman"/>
                                <w:b/>
                                <w:sz w:val="24"/>
                              </w:rPr>
                            </w:pPr>
                            <w:r>
                              <w:rPr>
                                <w:rFonts w:ascii="Times New Roman" w:hAnsi="Times New Roman"/>
                                <w:b/>
                                <w:sz w:val="24"/>
                              </w:rPr>
                              <w:t>Reçu le</w:t>
                            </w:r>
                          </w:p>
                        </w:tc>
                      </w:tr>
                      <w:tr w:rsidR="003B2162" w:rsidRPr="003B2162" w14:paraId="5C02788A" w14:textId="77777777" w:rsidTr="00E47DAF">
                        <w:trPr>
                          <w:trHeight w:val="567"/>
                        </w:trPr>
                        <w:tc>
                          <w:tcPr>
                            <w:tcW w:w="3118" w:type="dxa"/>
                            <w:vAlign w:val="center"/>
                          </w:tcPr>
                          <w:p w14:paraId="094CA27E" w14:textId="77777777" w:rsidR="003B2162" w:rsidRPr="003B2162" w:rsidRDefault="003B2162" w:rsidP="003B2162">
                            <w:pPr>
                              <w:jc w:val="center"/>
                              <w:rPr>
                                <w:rFonts w:ascii="Times New Roman" w:hAnsi="Times New Roman" w:cs="Times New Roman"/>
                                <w:b/>
                                <w:sz w:val="18"/>
                              </w:rPr>
                            </w:pPr>
                            <w:r>
                              <w:rPr>
                                <w:rFonts w:ascii="Times New Roman" w:hAnsi="Times New Roman"/>
                                <w:b/>
                                <w:sz w:val="18"/>
                              </w:rPr>
                              <w:t xml:space="preserve">– </w:t>
                            </w:r>
                            <w:r>
                              <w:rPr>
                                <w:rFonts w:ascii="Times New Roman" w:hAnsi="Times New Roman"/>
                                <w:b/>
                                <w:color w:val="FF0000"/>
                                <w:sz w:val="18"/>
                              </w:rPr>
                              <w:t xml:space="preserve">2 décembre 2023 </w:t>
                            </w:r>
                            <w:r>
                              <w:rPr>
                                <w:rFonts w:ascii="Times New Roman" w:hAnsi="Times New Roman"/>
                                <w:b/>
                                <w:sz w:val="18"/>
                              </w:rPr>
                              <w:t>–</w:t>
                            </w:r>
                          </w:p>
                        </w:tc>
                      </w:tr>
                      <w:tr w:rsidR="003B2162" w:rsidRPr="003B2162" w14:paraId="0ABB7092" w14:textId="77777777" w:rsidTr="00E47DAF">
                        <w:trPr>
                          <w:trHeight w:val="737"/>
                        </w:trPr>
                        <w:tc>
                          <w:tcPr>
                            <w:tcW w:w="3118" w:type="dxa"/>
                            <w:vAlign w:val="center"/>
                          </w:tcPr>
                          <w:p w14:paraId="352C151D" w14:textId="7D883DAB" w:rsidR="00E47DAF" w:rsidRDefault="00E47DAF" w:rsidP="00E47DAF">
                            <w:pPr>
                              <w:jc w:val="center"/>
                              <w:rPr>
                                <w:rFonts w:ascii="Times New Roman" w:hAnsi="Times New Roman" w:cs="Times New Roman"/>
                                <w:sz w:val="18"/>
                              </w:rPr>
                            </w:pPr>
                            <w:r>
                              <w:rPr>
                                <w:rFonts w:ascii="Times New Roman" w:hAnsi="Times New Roman"/>
                                <w:sz w:val="18"/>
                              </w:rPr>
                              <w:t>Conseil d’</w:t>
                            </w:r>
                            <w:r w:rsidR="0070107F">
                              <w:rPr>
                                <w:rFonts w:ascii="Times New Roman" w:hAnsi="Times New Roman"/>
                                <w:sz w:val="18"/>
                              </w:rPr>
                              <w:t>État</w:t>
                            </w:r>
                            <w:r>
                              <w:rPr>
                                <w:rFonts w:ascii="Times New Roman" w:hAnsi="Times New Roman"/>
                                <w:sz w:val="18"/>
                              </w:rPr>
                              <w:t xml:space="preserve"> </w:t>
                            </w:r>
                            <w:r>
                              <w:rPr>
                                <w:rFonts w:ascii="Times New Roman" w:hAnsi="Times New Roman"/>
                                <w:sz w:val="18"/>
                              </w:rPr>
                              <w:br/>
                              <w:t>Dép. de l’économie</w:t>
                            </w:r>
                            <w:r w:rsidR="0070107F">
                              <w:rPr>
                                <w:rFonts w:ascii="Times New Roman" w:hAnsi="Times New Roman"/>
                                <w:sz w:val="18"/>
                              </w:rPr>
                              <w:t xml:space="preserve"> </w:t>
                            </w:r>
                            <w:r>
                              <w:rPr>
                                <w:rFonts w:ascii="Times New Roman" w:hAnsi="Times New Roman"/>
                                <w:sz w:val="18"/>
                              </w:rPr>
                              <w:t>et des affaires intérieures</w:t>
                            </w:r>
                          </w:p>
                          <w:p w14:paraId="65D72BE2" w14:textId="7732B733" w:rsidR="003B2162" w:rsidRPr="003B2162" w:rsidRDefault="00E47DAF" w:rsidP="00E47DAF">
                            <w:pPr>
                              <w:jc w:val="center"/>
                              <w:rPr>
                                <w:rFonts w:ascii="Times New Roman" w:hAnsi="Times New Roman" w:cs="Times New Roman"/>
                                <w:sz w:val="18"/>
                              </w:rPr>
                            </w:pPr>
                            <w:r>
                              <w:rPr>
                                <w:rFonts w:ascii="Times New Roman" w:hAnsi="Times New Roman"/>
                                <w:sz w:val="18"/>
                              </w:rPr>
                              <w:t>Service juridique des naturalisations</w:t>
                            </w:r>
                          </w:p>
                        </w:tc>
                      </w:tr>
                    </w:tbl>
                    <w:p w14:paraId="53DA40FE" w14:textId="77777777" w:rsidR="003B2162" w:rsidRPr="003B2162" w:rsidRDefault="003B2162" w:rsidP="003B2162">
                      <w:pPr>
                        <w:jc w:val="center"/>
                        <w:rPr>
                          <w:rFonts w:ascii="Times New Roman" w:hAnsi="Times New Roman" w:cs="Times New Roman"/>
                          <w:sz w:val="2"/>
                          <w:szCs w:val="2"/>
                        </w:rPr>
                      </w:pPr>
                    </w:p>
                  </w:txbxContent>
                </v:textbox>
              </v:shape>
            </w:pict>
          </mc:Fallback>
        </mc:AlternateContent>
      </w:r>
      <w:r w:rsidRPr="00C24A34">
        <w:rPr>
          <w:rFonts w:ascii="Arial" w:hAnsi="Arial"/>
          <w:lang w:val="de-DE"/>
        </w:rPr>
        <w:t>Karl Suter</w:t>
      </w:r>
    </w:p>
    <w:p w14:paraId="70C8FE09" w14:textId="77777777" w:rsidR="00EE2AB9" w:rsidRPr="00C24A34" w:rsidRDefault="00EE2AB9" w:rsidP="00EE2AB9">
      <w:pPr>
        <w:spacing w:after="0" w:line="240" w:lineRule="auto"/>
        <w:rPr>
          <w:rFonts w:ascii="Arial" w:hAnsi="Arial" w:cs="Arial"/>
          <w:lang w:val="de-DE"/>
        </w:rPr>
      </w:pPr>
      <w:r w:rsidRPr="00C24A34">
        <w:rPr>
          <w:rFonts w:ascii="Arial" w:hAnsi="Arial"/>
          <w:lang w:val="de-DE"/>
        </w:rPr>
        <w:t>Hauptstrasse 55</w:t>
      </w:r>
    </w:p>
    <w:p w14:paraId="69C683E5" w14:textId="29D66238" w:rsidR="00EE2AB9" w:rsidRPr="00C24A34" w:rsidRDefault="00EE2AB9" w:rsidP="00EE2AB9">
      <w:pPr>
        <w:spacing w:after="0" w:line="240" w:lineRule="auto"/>
        <w:rPr>
          <w:rFonts w:ascii="Arial" w:hAnsi="Arial" w:cs="Arial"/>
          <w:lang w:val="de-DE"/>
        </w:rPr>
      </w:pPr>
      <w:r w:rsidRPr="00C24A34">
        <w:rPr>
          <w:rFonts w:ascii="Arial" w:hAnsi="Arial"/>
          <w:lang w:val="de-DE"/>
        </w:rPr>
        <w:t>88850 Kleinhausen</w:t>
      </w:r>
    </w:p>
    <w:p w14:paraId="7FBEE64B" w14:textId="77777777" w:rsidR="00EE2AB9" w:rsidRPr="00C24A34" w:rsidRDefault="00EE2AB9" w:rsidP="00EE2AB9">
      <w:pPr>
        <w:spacing w:after="0" w:line="240" w:lineRule="auto"/>
        <w:rPr>
          <w:rFonts w:ascii="Arial" w:hAnsi="Arial" w:cs="Arial"/>
          <w:lang w:val="de-DE"/>
        </w:rPr>
      </w:pPr>
    </w:p>
    <w:p w14:paraId="60F30062" w14:textId="77777777" w:rsidR="00EE2AB9" w:rsidRPr="00C24A34" w:rsidRDefault="00EE2AB9" w:rsidP="00EE2AB9">
      <w:pPr>
        <w:spacing w:after="0" w:line="240" w:lineRule="auto"/>
        <w:rPr>
          <w:rFonts w:ascii="Arial" w:hAnsi="Arial" w:cs="Arial"/>
          <w:lang w:val="de-DE"/>
        </w:rPr>
      </w:pPr>
    </w:p>
    <w:p w14:paraId="6562A7A2" w14:textId="77777777" w:rsidR="00EE2AB9" w:rsidRPr="00C24A34" w:rsidRDefault="00EE2AB9" w:rsidP="00EE2AB9">
      <w:pPr>
        <w:spacing w:after="0" w:line="240" w:lineRule="auto"/>
        <w:rPr>
          <w:rFonts w:ascii="Arial" w:hAnsi="Arial" w:cs="Arial"/>
          <w:lang w:val="de-DE"/>
        </w:rPr>
      </w:pPr>
    </w:p>
    <w:p w14:paraId="08D2958A" w14:textId="4D989AB8" w:rsidR="00EE2AB9" w:rsidRPr="00B1084F" w:rsidRDefault="00EE2AB9" w:rsidP="00A21EB0">
      <w:pPr>
        <w:tabs>
          <w:tab w:val="left" w:pos="4536"/>
        </w:tabs>
        <w:spacing w:after="0" w:line="240" w:lineRule="auto"/>
        <w:rPr>
          <w:rFonts w:ascii="Arial" w:hAnsi="Arial" w:cs="Arial"/>
          <w:lang w:val="de-CH"/>
        </w:rPr>
      </w:pPr>
      <w:r w:rsidRPr="00C24A34">
        <w:rPr>
          <w:rFonts w:ascii="Arial" w:hAnsi="Arial"/>
          <w:lang w:val="de-DE"/>
        </w:rPr>
        <w:tab/>
      </w:r>
      <w:r w:rsidRPr="00B1084F">
        <w:rPr>
          <w:rFonts w:ascii="Arial" w:hAnsi="Arial"/>
          <w:lang w:val="de-CH"/>
        </w:rPr>
        <w:t>Conseil d’</w:t>
      </w:r>
      <w:r w:rsidR="0070107F" w:rsidRPr="00B1084F">
        <w:rPr>
          <w:rFonts w:ascii="Arial" w:hAnsi="Arial"/>
          <w:lang w:val="de-CH"/>
        </w:rPr>
        <w:t>État</w:t>
      </w:r>
    </w:p>
    <w:p w14:paraId="2FE50195" w14:textId="72745EE8" w:rsidR="00843E5C" w:rsidRDefault="00843E5C" w:rsidP="00A21EB0">
      <w:pPr>
        <w:tabs>
          <w:tab w:val="left" w:pos="4536"/>
        </w:tabs>
        <w:spacing w:after="0" w:line="240" w:lineRule="auto"/>
        <w:rPr>
          <w:rFonts w:ascii="Arial" w:hAnsi="Arial" w:cs="Arial"/>
        </w:rPr>
      </w:pPr>
      <w:r w:rsidRPr="00B1084F">
        <w:rPr>
          <w:rFonts w:ascii="Arial" w:hAnsi="Arial"/>
          <w:lang w:val="de-CH"/>
        </w:rPr>
        <w:tab/>
      </w:r>
      <w:r>
        <w:rPr>
          <w:rFonts w:ascii="Arial" w:hAnsi="Arial"/>
        </w:rPr>
        <w:t>Dép. de l’économie et des affaires intérieures</w:t>
      </w:r>
    </w:p>
    <w:p w14:paraId="11BF7486" w14:textId="27CD10C2" w:rsidR="00EE2AB9" w:rsidRPr="00C24A34" w:rsidRDefault="00A21EB0" w:rsidP="00EE2AB9">
      <w:pPr>
        <w:tabs>
          <w:tab w:val="left" w:pos="4536"/>
        </w:tabs>
        <w:spacing w:after="0" w:line="240" w:lineRule="auto"/>
        <w:rPr>
          <w:rFonts w:ascii="Arial" w:hAnsi="Arial" w:cs="Arial"/>
          <w:lang w:val="de-DE"/>
        </w:rPr>
      </w:pPr>
      <w:r>
        <w:rPr>
          <w:rFonts w:ascii="Arial" w:hAnsi="Arial"/>
        </w:rPr>
        <w:tab/>
      </w:r>
      <w:r w:rsidRPr="00C24A34">
        <w:rPr>
          <w:rFonts w:ascii="Arial" w:hAnsi="Arial"/>
          <w:lang w:val="de-DE"/>
        </w:rPr>
        <w:t>88850 Kleinhausen</w:t>
      </w:r>
    </w:p>
    <w:p w14:paraId="78E604A7" w14:textId="77777777" w:rsidR="00EE2AB9" w:rsidRPr="00C24A34" w:rsidRDefault="00EE2AB9" w:rsidP="00EE2AB9">
      <w:pPr>
        <w:spacing w:after="0" w:line="240" w:lineRule="auto"/>
        <w:rPr>
          <w:rFonts w:ascii="Arial" w:hAnsi="Arial" w:cs="Arial"/>
          <w:lang w:val="de-DE"/>
        </w:rPr>
      </w:pPr>
    </w:p>
    <w:p w14:paraId="2B4D81EA" w14:textId="77777777" w:rsidR="00EE2AB9" w:rsidRPr="00C24A34" w:rsidRDefault="00EE2AB9" w:rsidP="00EE2AB9">
      <w:pPr>
        <w:spacing w:after="0" w:line="240" w:lineRule="auto"/>
        <w:rPr>
          <w:rFonts w:ascii="Arial" w:hAnsi="Arial" w:cs="Arial"/>
          <w:lang w:val="de-DE"/>
        </w:rPr>
      </w:pPr>
    </w:p>
    <w:p w14:paraId="577DC29A" w14:textId="77777777" w:rsidR="00EE2AB9" w:rsidRPr="00C24A34" w:rsidRDefault="00EE2AB9" w:rsidP="00EE2AB9">
      <w:pPr>
        <w:spacing w:after="0" w:line="240" w:lineRule="auto"/>
        <w:rPr>
          <w:rFonts w:ascii="Arial" w:hAnsi="Arial" w:cs="Arial"/>
          <w:lang w:val="de-DE"/>
        </w:rPr>
      </w:pPr>
    </w:p>
    <w:p w14:paraId="0E9F6A8F" w14:textId="77777777" w:rsidR="00EE2AB9" w:rsidRPr="00C24A34" w:rsidRDefault="00EE2AB9" w:rsidP="00EE2AB9">
      <w:pPr>
        <w:tabs>
          <w:tab w:val="left" w:pos="4536"/>
        </w:tabs>
        <w:spacing w:after="0" w:line="240" w:lineRule="auto"/>
        <w:rPr>
          <w:rFonts w:ascii="Arial" w:hAnsi="Arial" w:cs="Arial"/>
          <w:lang w:val="de-DE"/>
        </w:rPr>
      </w:pPr>
      <w:r w:rsidRPr="00C24A34">
        <w:rPr>
          <w:rFonts w:ascii="Arial" w:hAnsi="Arial"/>
          <w:lang w:val="de-DE"/>
        </w:rPr>
        <w:tab/>
        <w:t>Kleinhausen, le 1</w:t>
      </w:r>
      <w:r w:rsidRPr="00C24A34">
        <w:rPr>
          <w:rFonts w:ascii="Arial" w:hAnsi="Arial"/>
          <w:vertAlign w:val="superscript"/>
          <w:lang w:val="de-DE"/>
        </w:rPr>
        <w:t>er</w:t>
      </w:r>
      <w:r w:rsidRPr="00C24A34">
        <w:rPr>
          <w:rFonts w:ascii="Arial" w:hAnsi="Arial"/>
          <w:lang w:val="de-DE"/>
        </w:rPr>
        <w:t> décembre 2023</w:t>
      </w:r>
    </w:p>
    <w:p w14:paraId="14C7B6E9" w14:textId="77777777" w:rsidR="00EE2AB9" w:rsidRPr="00C24A34" w:rsidRDefault="00EE2AB9" w:rsidP="00EE2AB9">
      <w:pPr>
        <w:spacing w:after="0" w:line="240" w:lineRule="auto"/>
        <w:rPr>
          <w:rFonts w:ascii="Arial" w:hAnsi="Arial" w:cs="Arial"/>
          <w:lang w:val="de-DE"/>
        </w:rPr>
      </w:pPr>
    </w:p>
    <w:p w14:paraId="4CC0BCA5" w14:textId="77777777" w:rsidR="00EE2AB9" w:rsidRPr="00C24A34" w:rsidRDefault="00EE2AB9" w:rsidP="00EE2AB9">
      <w:pPr>
        <w:spacing w:after="0" w:line="240" w:lineRule="auto"/>
        <w:rPr>
          <w:rFonts w:ascii="Arial" w:hAnsi="Arial" w:cs="Arial"/>
          <w:lang w:val="de-DE"/>
        </w:rPr>
      </w:pPr>
    </w:p>
    <w:p w14:paraId="1911E208" w14:textId="77777777" w:rsidR="00EE2AB9" w:rsidRPr="00C24A34" w:rsidRDefault="00EE2AB9" w:rsidP="00EE2AB9">
      <w:pPr>
        <w:spacing w:after="0" w:line="240" w:lineRule="auto"/>
        <w:rPr>
          <w:rFonts w:ascii="Arial" w:hAnsi="Arial" w:cs="Arial"/>
          <w:lang w:val="de-DE"/>
        </w:rPr>
      </w:pPr>
    </w:p>
    <w:p w14:paraId="5E190972" w14:textId="09796049" w:rsidR="00EE2AB9" w:rsidRDefault="00EE2AB9" w:rsidP="00EE2AB9">
      <w:pPr>
        <w:spacing w:after="0" w:line="240" w:lineRule="auto"/>
        <w:rPr>
          <w:rFonts w:ascii="Arial" w:hAnsi="Arial" w:cs="Arial"/>
          <w:b/>
        </w:rPr>
      </w:pPr>
      <w:r>
        <w:rPr>
          <w:rFonts w:ascii="Arial" w:hAnsi="Arial"/>
          <w:b/>
        </w:rPr>
        <w:t>Opposition à la décision du 14 juillet 2023</w:t>
      </w:r>
    </w:p>
    <w:p w14:paraId="018C51A1" w14:textId="77777777" w:rsidR="00EE2AB9" w:rsidRDefault="00EE2AB9" w:rsidP="00EE2AB9">
      <w:pPr>
        <w:spacing w:after="0" w:line="240" w:lineRule="auto"/>
        <w:rPr>
          <w:rFonts w:ascii="Arial" w:hAnsi="Arial" w:cs="Arial"/>
        </w:rPr>
      </w:pPr>
    </w:p>
    <w:p w14:paraId="7F244096" w14:textId="77777777" w:rsidR="00EE2AB9" w:rsidRDefault="00EE2AB9" w:rsidP="00EE2AB9">
      <w:pPr>
        <w:spacing w:after="0" w:line="240" w:lineRule="auto"/>
        <w:rPr>
          <w:rFonts w:ascii="Arial" w:hAnsi="Arial" w:cs="Arial"/>
        </w:rPr>
      </w:pPr>
    </w:p>
    <w:p w14:paraId="2CCEB60D" w14:textId="77777777" w:rsidR="00EE2AB9" w:rsidRDefault="00EE2AB9" w:rsidP="00EE2AB9">
      <w:pPr>
        <w:spacing w:after="0" w:line="240" w:lineRule="auto"/>
        <w:rPr>
          <w:rFonts w:ascii="Arial" w:hAnsi="Arial" w:cs="Arial"/>
        </w:rPr>
      </w:pPr>
      <w:r>
        <w:rPr>
          <w:rFonts w:ascii="Arial" w:hAnsi="Arial"/>
        </w:rPr>
        <w:t>Madame, Monsieur,</w:t>
      </w:r>
    </w:p>
    <w:p w14:paraId="112AE3F9" w14:textId="77777777" w:rsidR="00EE2AB9" w:rsidRDefault="00EE2AB9" w:rsidP="00EE2AB9">
      <w:pPr>
        <w:spacing w:after="0" w:line="240" w:lineRule="auto"/>
        <w:rPr>
          <w:rFonts w:ascii="Arial" w:hAnsi="Arial" w:cs="Arial"/>
        </w:rPr>
      </w:pPr>
    </w:p>
    <w:p w14:paraId="3578735E" w14:textId="77777777" w:rsidR="00EE2AB9" w:rsidRDefault="00EE2AB9" w:rsidP="00EE2AB9">
      <w:pPr>
        <w:spacing w:after="0" w:line="240" w:lineRule="auto"/>
        <w:rPr>
          <w:rFonts w:ascii="Arial" w:hAnsi="Arial" w:cs="Arial"/>
        </w:rPr>
      </w:pPr>
    </w:p>
    <w:p w14:paraId="68EEA18E" w14:textId="40078F3C" w:rsidR="00EE2AB9" w:rsidRDefault="00EE2AB9" w:rsidP="00163120">
      <w:pPr>
        <w:spacing w:after="0" w:line="240" w:lineRule="auto"/>
        <w:jc w:val="both"/>
        <w:rPr>
          <w:rFonts w:ascii="Arial" w:hAnsi="Arial" w:cs="Arial"/>
        </w:rPr>
      </w:pPr>
      <w:r>
        <w:rPr>
          <w:rFonts w:ascii="Arial" w:hAnsi="Arial"/>
        </w:rPr>
        <w:t>Par la présente, je forme opposition contre la décision du 14 juillet 2023 du Conseil communal de Kleinhausen, reçue le 17 juillet 2023, dans laquelle ma demande de naturalisation ordinaire a été rejetée. Mon opposition est motivée par les raisons suivantes :</w:t>
      </w:r>
    </w:p>
    <w:p w14:paraId="25B8BE92" w14:textId="77777777" w:rsidR="00EE2AB9" w:rsidRDefault="00EE2AB9" w:rsidP="00163120">
      <w:pPr>
        <w:spacing w:after="0" w:line="240" w:lineRule="auto"/>
        <w:jc w:val="both"/>
        <w:rPr>
          <w:rFonts w:ascii="Arial" w:hAnsi="Arial" w:cs="Arial"/>
        </w:rPr>
      </w:pPr>
    </w:p>
    <w:p w14:paraId="3B73B5CA" w14:textId="77777777" w:rsidR="003B2162" w:rsidRPr="003B2162" w:rsidRDefault="00EE2AB9" w:rsidP="00163120">
      <w:pPr>
        <w:pStyle w:val="Paragraphedeliste"/>
        <w:numPr>
          <w:ilvl w:val="0"/>
          <w:numId w:val="1"/>
        </w:numPr>
        <w:spacing w:after="120" w:line="240" w:lineRule="auto"/>
        <w:ind w:left="284" w:hanging="284"/>
        <w:contextualSpacing w:val="0"/>
        <w:jc w:val="both"/>
        <w:rPr>
          <w:rFonts w:ascii="Arial" w:hAnsi="Arial" w:cs="Arial"/>
        </w:rPr>
      </w:pPr>
      <w:r>
        <w:rPr>
          <w:rFonts w:ascii="Arial" w:hAnsi="Arial"/>
        </w:rPr>
        <w:t>Lors de l’entretien du 5 février 2023 avec la secrétaire communale de Kleinhausen, Alessia Bräm, j’ai pu répondre sans problème à toutes les questions portant sur l’instruction civique.</w:t>
      </w:r>
    </w:p>
    <w:p w14:paraId="6111DC8C" w14:textId="777E5505" w:rsidR="003B2162" w:rsidRPr="003B2162" w:rsidRDefault="003B2162" w:rsidP="00163120">
      <w:pPr>
        <w:pStyle w:val="Paragraphedeliste"/>
        <w:numPr>
          <w:ilvl w:val="0"/>
          <w:numId w:val="1"/>
        </w:numPr>
        <w:spacing w:after="120" w:line="240" w:lineRule="auto"/>
        <w:ind w:left="284" w:hanging="284"/>
        <w:contextualSpacing w:val="0"/>
        <w:jc w:val="both"/>
        <w:rPr>
          <w:rFonts w:ascii="Arial" w:hAnsi="Arial" w:cs="Arial"/>
        </w:rPr>
      </w:pPr>
      <w:r>
        <w:rPr>
          <w:rFonts w:ascii="Arial" w:hAnsi="Arial"/>
        </w:rPr>
        <w:t xml:space="preserve">Comme je suis né en Suisse et que j’y ai suivi ma scolarité, je parle </w:t>
      </w:r>
      <w:r w:rsidR="0070107F">
        <w:rPr>
          <w:rFonts w:ascii="Arial" w:hAnsi="Arial"/>
        </w:rPr>
        <w:t>parfaitement le</w:t>
      </w:r>
      <w:r>
        <w:rPr>
          <w:rFonts w:ascii="Arial" w:hAnsi="Arial"/>
        </w:rPr>
        <w:t xml:space="preserve"> suisse-allemand.</w:t>
      </w:r>
    </w:p>
    <w:p w14:paraId="0546E2B8" w14:textId="44909D92" w:rsidR="00EE2AB9" w:rsidRPr="003B2162" w:rsidRDefault="0070107F" w:rsidP="00163120">
      <w:pPr>
        <w:pStyle w:val="Paragraphedeliste"/>
        <w:numPr>
          <w:ilvl w:val="0"/>
          <w:numId w:val="1"/>
        </w:numPr>
        <w:spacing w:after="0" w:line="240" w:lineRule="auto"/>
        <w:ind w:left="284" w:hanging="284"/>
        <w:jc w:val="both"/>
        <w:rPr>
          <w:rFonts w:ascii="Arial" w:hAnsi="Arial" w:cs="Arial"/>
        </w:rPr>
      </w:pPr>
      <w:r>
        <w:rPr>
          <w:rFonts w:ascii="Arial" w:hAnsi="Arial"/>
        </w:rPr>
        <w:t>Puisque</w:t>
      </w:r>
      <w:r w:rsidR="003B2162">
        <w:rPr>
          <w:rFonts w:ascii="Arial" w:hAnsi="Arial"/>
        </w:rPr>
        <w:t xml:space="preserve"> je suis membre du Jodlerklub Kleinhausen depuis plus de dix ans et que je m’engage également dans le village (p. ex. lors de manifestations comme le marché de Noël), je suis pleinement intégré.</w:t>
      </w:r>
    </w:p>
    <w:p w14:paraId="0B7469FD" w14:textId="77777777" w:rsidR="003B2162" w:rsidRDefault="003B2162" w:rsidP="00163120">
      <w:pPr>
        <w:spacing w:after="0" w:line="240" w:lineRule="auto"/>
        <w:jc w:val="both"/>
        <w:rPr>
          <w:rFonts w:ascii="Arial" w:hAnsi="Arial" w:cs="Arial"/>
        </w:rPr>
      </w:pPr>
    </w:p>
    <w:p w14:paraId="0C12CAC8" w14:textId="77777777" w:rsidR="003B2162" w:rsidRDefault="003B2162" w:rsidP="00163120">
      <w:pPr>
        <w:spacing w:after="0" w:line="240" w:lineRule="auto"/>
        <w:jc w:val="both"/>
        <w:rPr>
          <w:rFonts w:ascii="Arial" w:hAnsi="Arial" w:cs="Arial"/>
        </w:rPr>
      </w:pPr>
      <w:r>
        <w:rPr>
          <w:rFonts w:ascii="Arial" w:hAnsi="Arial"/>
        </w:rPr>
        <w:t>Le motif du manque d’intégration est pour moi irrecevable et j’exige la réévaluation et l’acceptation de ma demande de naturalisation.</w:t>
      </w:r>
    </w:p>
    <w:p w14:paraId="47FA1327" w14:textId="77777777" w:rsidR="00EE2AB9" w:rsidRDefault="00EE2AB9" w:rsidP="00EE2AB9">
      <w:pPr>
        <w:spacing w:after="0" w:line="240" w:lineRule="auto"/>
        <w:rPr>
          <w:rFonts w:ascii="Arial" w:hAnsi="Arial" w:cs="Arial"/>
        </w:rPr>
      </w:pPr>
    </w:p>
    <w:p w14:paraId="5FBD975B" w14:textId="77777777" w:rsidR="00EE2AB9" w:rsidRDefault="00EE2AB9" w:rsidP="00EE2AB9">
      <w:pPr>
        <w:spacing w:after="0" w:line="240" w:lineRule="auto"/>
        <w:rPr>
          <w:rFonts w:ascii="Arial" w:hAnsi="Arial" w:cs="Arial"/>
        </w:rPr>
      </w:pPr>
    </w:p>
    <w:p w14:paraId="0764763F" w14:textId="77777777" w:rsidR="00EE2AB9" w:rsidRDefault="003B2162" w:rsidP="00EE2AB9">
      <w:pPr>
        <w:spacing w:after="0" w:line="240" w:lineRule="auto"/>
        <w:rPr>
          <w:rFonts w:ascii="Arial" w:hAnsi="Arial" w:cs="Arial"/>
        </w:rPr>
      </w:pPr>
      <w:r>
        <w:rPr>
          <w:noProof/>
        </w:rPr>
        <w:drawing>
          <wp:anchor distT="0" distB="0" distL="114300" distR="114300" simplePos="0" relativeHeight="251660288" behindDoc="1" locked="0" layoutInCell="1" allowOverlap="1" wp14:anchorId="0D8470DA" wp14:editId="2CEA01EF">
            <wp:simplePos x="0" y="0"/>
            <wp:positionH relativeFrom="column">
              <wp:posOffset>-114300</wp:posOffset>
            </wp:positionH>
            <wp:positionV relativeFrom="paragraph">
              <wp:posOffset>60859</wp:posOffset>
            </wp:positionV>
            <wp:extent cx="952937" cy="720000"/>
            <wp:effectExtent l="0" t="0" r="0" b="4445"/>
            <wp:wrapNone/>
            <wp:docPr id="1" name="Grafik 1" descr="Wochengrafik - Skurrile Unterschriften - Politik - SZ.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chengrafik - Skurrile Unterschriften - Politik - SZ.d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043" t="17253" r="25117" b="20417"/>
                    <a:stretch/>
                  </pic:blipFill>
                  <pic:spPr bwMode="auto">
                    <a:xfrm>
                      <a:off x="0" y="0"/>
                      <a:ext cx="952937"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rPr>
        <w:t>Meilleures salutations</w:t>
      </w:r>
    </w:p>
    <w:p w14:paraId="34190FDA" w14:textId="77777777" w:rsidR="00EE2AB9" w:rsidRDefault="00EE2AB9" w:rsidP="00EE2AB9">
      <w:pPr>
        <w:spacing w:after="0" w:line="240" w:lineRule="auto"/>
        <w:rPr>
          <w:rFonts w:ascii="Arial" w:hAnsi="Arial" w:cs="Arial"/>
        </w:rPr>
      </w:pPr>
    </w:p>
    <w:p w14:paraId="4081E42E" w14:textId="77777777" w:rsidR="00EE2AB9" w:rsidRDefault="00EE2AB9" w:rsidP="00EE2AB9">
      <w:pPr>
        <w:spacing w:after="0" w:line="240" w:lineRule="auto"/>
        <w:rPr>
          <w:rFonts w:ascii="Arial" w:hAnsi="Arial" w:cs="Arial"/>
        </w:rPr>
      </w:pPr>
    </w:p>
    <w:p w14:paraId="521B8536" w14:textId="77777777" w:rsidR="003B2162" w:rsidRDefault="003B2162" w:rsidP="00EE2AB9">
      <w:pPr>
        <w:spacing w:after="0" w:line="240" w:lineRule="auto"/>
        <w:rPr>
          <w:rFonts w:ascii="Arial" w:hAnsi="Arial" w:cs="Arial"/>
        </w:rPr>
      </w:pPr>
    </w:p>
    <w:p w14:paraId="04D253EB" w14:textId="77777777" w:rsidR="00EE2AB9" w:rsidRDefault="00EE2AB9" w:rsidP="00EE2AB9">
      <w:pPr>
        <w:spacing w:after="0" w:line="240" w:lineRule="auto"/>
        <w:rPr>
          <w:rFonts w:ascii="Arial" w:hAnsi="Arial" w:cs="Arial"/>
        </w:rPr>
      </w:pPr>
      <w:r>
        <w:rPr>
          <w:rFonts w:ascii="Arial" w:hAnsi="Arial"/>
        </w:rPr>
        <w:t>Karl Suter</w:t>
      </w:r>
    </w:p>
    <w:p w14:paraId="13EA160C" w14:textId="77777777" w:rsidR="003B2162" w:rsidRDefault="003B2162" w:rsidP="00EE2AB9">
      <w:pPr>
        <w:spacing w:after="0" w:line="240" w:lineRule="auto"/>
        <w:rPr>
          <w:rFonts w:ascii="Arial" w:hAnsi="Arial" w:cs="Arial"/>
        </w:rPr>
      </w:pPr>
    </w:p>
    <w:p w14:paraId="165C7C44" w14:textId="77777777" w:rsidR="003B2162" w:rsidRDefault="003B2162" w:rsidP="00EE2AB9">
      <w:pPr>
        <w:spacing w:after="0" w:line="240" w:lineRule="auto"/>
        <w:rPr>
          <w:rFonts w:ascii="Arial" w:hAnsi="Arial" w:cs="Arial"/>
        </w:rPr>
      </w:pPr>
    </w:p>
    <w:p w14:paraId="7517EF21" w14:textId="77777777" w:rsidR="003B2162" w:rsidRDefault="003B2162" w:rsidP="00EE2AB9">
      <w:pPr>
        <w:spacing w:after="0" w:line="240" w:lineRule="auto"/>
        <w:rPr>
          <w:rFonts w:ascii="Arial" w:hAnsi="Arial" w:cs="Arial"/>
        </w:rPr>
      </w:pPr>
    </w:p>
    <w:p w14:paraId="323DA832" w14:textId="77777777" w:rsidR="003B2162" w:rsidRDefault="003B2162" w:rsidP="00EE2AB9">
      <w:pPr>
        <w:spacing w:after="0" w:line="240" w:lineRule="auto"/>
        <w:rPr>
          <w:rFonts w:ascii="Arial" w:hAnsi="Arial" w:cs="Arial"/>
        </w:rPr>
      </w:pPr>
    </w:p>
    <w:p w14:paraId="6A761F16" w14:textId="77777777" w:rsidR="003B2162" w:rsidRDefault="003B2162" w:rsidP="00705F8C">
      <w:pPr>
        <w:spacing w:after="60" w:line="240" w:lineRule="auto"/>
        <w:rPr>
          <w:rFonts w:ascii="Arial" w:hAnsi="Arial" w:cs="Arial"/>
        </w:rPr>
      </w:pPr>
      <w:r>
        <w:rPr>
          <w:rFonts w:ascii="Arial" w:hAnsi="Arial"/>
        </w:rPr>
        <w:t>Annexes :</w:t>
      </w:r>
    </w:p>
    <w:p w14:paraId="509385E7" w14:textId="06E52921" w:rsidR="003B2162" w:rsidRDefault="003B2162" w:rsidP="00705F8C">
      <w:pPr>
        <w:pStyle w:val="Paragraphedeliste"/>
        <w:numPr>
          <w:ilvl w:val="0"/>
          <w:numId w:val="2"/>
        </w:numPr>
        <w:spacing w:after="60" w:line="240" w:lineRule="auto"/>
        <w:ind w:left="284" w:hanging="284"/>
        <w:contextualSpacing w:val="0"/>
        <w:rPr>
          <w:rFonts w:ascii="Arial" w:hAnsi="Arial" w:cs="Arial"/>
        </w:rPr>
      </w:pPr>
      <w:r>
        <w:rPr>
          <w:rFonts w:ascii="Arial" w:hAnsi="Arial"/>
        </w:rPr>
        <w:t>Copie de l’indication des voies de droit de la décision du 14 juillet 2023</w:t>
      </w:r>
    </w:p>
    <w:p w14:paraId="4684D2DF" w14:textId="77777777" w:rsidR="003B2162" w:rsidRDefault="003B2162" w:rsidP="00705F8C">
      <w:pPr>
        <w:pStyle w:val="Paragraphedeliste"/>
        <w:numPr>
          <w:ilvl w:val="0"/>
          <w:numId w:val="2"/>
        </w:numPr>
        <w:spacing w:after="60" w:line="240" w:lineRule="auto"/>
        <w:ind w:left="284" w:hanging="284"/>
        <w:contextualSpacing w:val="0"/>
        <w:rPr>
          <w:rFonts w:ascii="Arial" w:hAnsi="Arial" w:cs="Arial"/>
        </w:rPr>
      </w:pPr>
      <w:r>
        <w:rPr>
          <w:rFonts w:ascii="Arial" w:hAnsi="Arial"/>
        </w:rPr>
        <w:t>Attestations scolaires</w:t>
      </w:r>
    </w:p>
    <w:p w14:paraId="709A9AB0" w14:textId="6A3DB040" w:rsidR="003B2162" w:rsidRDefault="003B2162" w:rsidP="00705F8C">
      <w:pPr>
        <w:pStyle w:val="Paragraphedeliste"/>
        <w:numPr>
          <w:ilvl w:val="0"/>
          <w:numId w:val="2"/>
        </w:numPr>
        <w:spacing w:after="60" w:line="240" w:lineRule="auto"/>
        <w:ind w:left="284" w:hanging="284"/>
        <w:contextualSpacing w:val="0"/>
        <w:rPr>
          <w:rFonts w:ascii="Arial" w:hAnsi="Arial" w:cs="Arial"/>
        </w:rPr>
      </w:pPr>
      <w:r>
        <w:rPr>
          <w:rFonts w:ascii="Arial" w:hAnsi="Arial"/>
        </w:rPr>
        <w:t xml:space="preserve">Attestation </w:t>
      </w:r>
      <w:r w:rsidR="00FC087B">
        <w:rPr>
          <w:rFonts w:ascii="Arial" w:hAnsi="Arial"/>
        </w:rPr>
        <w:t xml:space="preserve">du </w:t>
      </w:r>
      <w:proofErr w:type="spellStart"/>
      <w:r>
        <w:rPr>
          <w:rFonts w:ascii="Arial" w:hAnsi="Arial"/>
        </w:rPr>
        <w:t>Jodlerklub</w:t>
      </w:r>
      <w:proofErr w:type="spellEnd"/>
      <w:r>
        <w:rPr>
          <w:rFonts w:ascii="Arial" w:hAnsi="Arial"/>
        </w:rPr>
        <w:t xml:space="preserve"> </w:t>
      </w:r>
      <w:proofErr w:type="spellStart"/>
      <w:r>
        <w:rPr>
          <w:rFonts w:ascii="Arial" w:hAnsi="Arial"/>
        </w:rPr>
        <w:t>Kleinhausen</w:t>
      </w:r>
      <w:proofErr w:type="spellEnd"/>
    </w:p>
    <w:p w14:paraId="769371F7" w14:textId="2D33C3A2" w:rsidR="00BE06F5" w:rsidRPr="00272C78" w:rsidRDefault="003B2162" w:rsidP="00272C78">
      <w:pPr>
        <w:pStyle w:val="Paragraphedeliste"/>
        <w:numPr>
          <w:ilvl w:val="0"/>
          <w:numId w:val="2"/>
        </w:numPr>
        <w:spacing w:after="0" w:line="240" w:lineRule="auto"/>
        <w:ind w:left="284" w:hanging="284"/>
        <w:rPr>
          <w:rFonts w:ascii="Arial" w:hAnsi="Arial" w:cs="Arial"/>
        </w:rPr>
      </w:pPr>
      <w:r>
        <w:rPr>
          <w:rFonts w:ascii="Arial" w:hAnsi="Arial"/>
        </w:rPr>
        <w:t>Deux lettres de référence d’habitants de Kleinhausen</w:t>
      </w:r>
      <w:r>
        <w:rPr>
          <w:rFonts w:ascii="Arial" w:hAnsi="Arial"/>
        </w:rPr>
        <w:br w:type="page"/>
      </w:r>
    </w:p>
    <w:p w14:paraId="66379C52" w14:textId="4152F2AB" w:rsidR="00BE06F5" w:rsidRPr="00F96023" w:rsidRDefault="00BE06F5" w:rsidP="00BE06F5">
      <w:pPr>
        <w:pStyle w:val="En-tte"/>
        <w:tabs>
          <w:tab w:val="left" w:pos="1560"/>
        </w:tabs>
        <w:jc w:val="left"/>
      </w:pPr>
      <w:r>
        <w:lastRenderedPageBreak/>
        <w:t>Séance du :</w:t>
      </w:r>
      <w:r>
        <w:tab/>
        <w:t>14 juillet 2023</w:t>
      </w:r>
    </w:p>
    <w:p w14:paraId="7E74D552" w14:textId="75F656A6" w:rsidR="00BE06F5" w:rsidRPr="00F96023" w:rsidRDefault="00BE06F5" w:rsidP="00BE06F5">
      <w:pPr>
        <w:pStyle w:val="En-tte"/>
        <w:tabs>
          <w:tab w:val="left" w:pos="1560"/>
        </w:tabs>
        <w:jc w:val="left"/>
      </w:pPr>
      <w:r>
        <w:t>Décision :</w:t>
      </w:r>
      <w:r>
        <w:tab/>
        <w:t>2023-2</w:t>
      </w:r>
    </w:p>
    <w:p w14:paraId="63289B54" w14:textId="7AF9D482" w:rsidR="00BE06F5" w:rsidRPr="00F96023" w:rsidRDefault="00BE06F5" w:rsidP="00BE06F5">
      <w:pPr>
        <w:pStyle w:val="En-tte"/>
        <w:tabs>
          <w:tab w:val="left" w:pos="1560"/>
        </w:tabs>
        <w:jc w:val="left"/>
      </w:pPr>
      <w:r>
        <w:t>Page :</w:t>
      </w:r>
      <w:r>
        <w:tab/>
      </w:r>
      <w:r w:rsidRPr="00F96023">
        <w:fldChar w:fldCharType="begin"/>
      </w:r>
      <w:r w:rsidRPr="00F96023">
        <w:instrText xml:space="preserve"> PAGE  \* Arabic  \* MERGEFORMAT </w:instrText>
      </w:r>
      <w:r w:rsidRPr="00F96023">
        <w:fldChar w:fldCharType="separate"/>
      </w:r>
      <w:r w:rsidRPr="00F96023">
        <w:rPr>
          <w:noProof/>
        </w:rPr>
        <w:t>2</w:t>
      </w:r>
      <w:r w:rsidRPr="00F96023">
        <w:fldChar w:fldCharType="end"/>
      </w:r>
      <w:r>
        <w:t xml:space="preserve"> sur </w:t>
      </w:r>
      <w:r w:rsidR="0070107F">
        <w:t>2</w:t>
      </w:r>
    </w:p>
    <w:p w14:paraId="27DBDF20" w14:textId="77777777" w:rsidR="00BE06F5" w:rsidRPr="00BA1D9A" w:rsidRDefault="00BE06F5" w:rsidP="00BE06F5">
      <w:pPr>
        <w:pStyle w:val="En-tte"/>
        <w:tabs>
          <w:tab w:val="left" w:pos="1701"/>
        </w:tabs>
        <w:jc w:val="left"/>
      </w:pPr>
    </w:p>
    <w:p w14:paraId="7921F5BA" w14:textId="77777777" w:rsidR="00BE06F5" w:rsidRPr="00F96023" w:rsidRDefault="00BE06F5" w:rsidP="00BE06F5">
      <w:pPr>
        <w:spacing w:after="60"/>
        <w:rPr>
          <w:rFonts w:ascii="Arial" w:hAnsi="Arial" w:cs="Arial"/>
          <w:b/>
        </w:rPr>
      </w:pPr>
      <w:bookmarkStart w:id="0" w:name="_Hlk80170545"/>
      <w:r>
        <w:rPr>
          <w:rFonts w:ascii="Arial" w:hAnsi="Arial"/>
          <w:b/>
        </w:rPr>
        <w:t>Indication des voies de droit</w:t>
      </w:r>
    </w:p>
    <w:p w14:paraId="26DCD696" w14:textId="38B66402" w:rsidR="00BE06F5" w:rsidRPr="00F96023" w:rsidRDefault="00BE06F5" w:rsidP="00163120">
      <w:pPr>
        <w:spacing w:after="60"/>
        <w:jc w:val="both"/>
        <w:rPr>
          <w:rFonts w:ascii="Arial" w:hAnsi="Arial" w:cs="Arial"/>
        </w:rPr>
      </w:pPr>
      <w:bookmarkStart w:id="1" w:name="_Hlk92895848"/>
      <w:bookmarkStart w:id="2" w:name="_Hlk92894879"/>
      <w:bookmarkStart w:id="3" w:name="_Hlk80790869"/>
      <w:bookmarkStart w:id="4" w:name="_Hlk101951720"/>
      <w:r>
        <w:rPr>
          <w:rFonts w:ascii="Arial" w:hAnsi="Arial"/>
        </w:rPr>
        <w:t>La présente décision peut faire l’objet d’un recours écrit auprès du Conseil d’</w:t>
      </w:r>
      <w:r w:rsidR="0070107F">
        <w:rPr>
          <w:rFonts w:ascii="Arial" w:hAnsi="Arial"/>
        </w:rPr>
        <w:t>État</w:t>
      </w:r>
      <w:r>
        <w:rPr>
          <w:rFonts w:ascii="Arial" w:hAnsi="Arial"/>
        </w:rPr>
        <w:t xml:space="preserve"> du canton de </w:t>
      </w:r>
      <w:proofErr w:type="spellStart"/>
      <w:r>
        <w:rPr>
          <w:rFonts w:ascii="Arial" w:hAnsi="Arial"/>
        </w:rPr>
        <w:t>Kleinhausen</w:t>
      </w:r>
      <w:proofErr w:type="spellEnd"/>
      <w:r>
        <w:rPr>
          <w:rFonts w:ascii="Arial" w:hAnsi="Arial"/>
        </w:rPr>
        <w:t xml:space="preserve">, </w:t>
      </w:r>
      <w:r w:rsidR="0070107F">
        <w:rPr>
          <w:rFonts w:ascii="Arial" w:hAnsi="Arial"/>
        </w:rPr>
        <w:t xml:space="preserve">Palais </w:t>
      </w:r>
      <w:r>
        <w:rPr>
          <w:rFonts w:ascii="Arial" w:hAnsi="Arial"/>
        </w:rPr>
        <w:t xml:space="preserve">du gouvernement, </w:t>
      </w:r>
      <w:bookmarkStart w:id="5" w:name="_Hlk92895857"/>
      <w:bookmarkStart w:id="6" w:name="_Hlk92894886"/>
      <w:bookmarkEnd w:id="1"/>
      <w:bookmarkEnd w:id="2"/>
      <w:r>
        <w:rPr>
          <w:rFonts w:ascii="Arial" w:hAnsi="Arial"/>
        </w:rPr>
        <w:t>88850 </w:t>
      </w:r>
      <w:proofErr w:type="spellStart"/>
      <w:r>
        <w:rPr>
          <w:rFonts w:ascii="Arial" w:hAnsi="Arial"/>
        </w:rPr>
        <w:t>Kleinhausen</w:t>
      </w:r>
      <w:proofErr w:type="spellEnd"/>
      <w:r>
        <w:rPr>
          <w:rFonts w:ascii="Arial" w:hAnsi="Arial"/>
        </w:rPr>
        <w:t xml:space="preserve">, dans un délai non </w:t>
      </w:r>
      <w:r w:rsidR="0070107F">
        <w:rPr>
          <w:rFonts w:ascii="Arial" w:hAnsi="Arial"/>
        </w:rPr>
        <w:t xml:space="preserve">prorogeable </w:t>
      </w:r>
      <w:r>
        <w:rPr>
          <w:rFonts w:ascii="Arial" w:hAnsi="Arial"/>
        </w:rPr>
        <w:t>de 30 jours à compter de sa notification.</w:t>
      </w:r>
    </w:p>
    <w:p w14:paraId="0120EF45" w14:textId="48278475" w:rsidR="00BE06F5" w:rsidRPr="00F96023" w:rsidRDefault="00BE06F5" w:rsidP="00163120">
      <w:pPr>
        <w:jc w:val="both"/>
        <w:rPr>
          <w:rFonts w:ascii="Arial" w:hAnsi="Arial" w:cs="Arial"/>
        </w:rPr>
      </w:pPr>
      <w:r>
        <w:rPr>
          <w:rFonts w:ascii="Arial" w:hAnsi="Arial"/>
        </w:rPr>
        <w:t>Le recours doit contenir une demande et un exposé des motifs. Autrement dit, il faut</w:t>
      </w:r>
    </w:p>
    <w:p w14:paraId="6787D513" w14:textId="2F114D47" w:rsidR="00BE06F5" w:rsidRPr="00F96023" w:rsidRDefault="00BE06F5" w:rsidP="00163120">
      <w:pPr>
        <w:pStyle w:val="Paragraphedeliste"/>
        <w:numPr>
          <w:ilvl w:val="0"/>
          <w:numId w:val="3"/>
        </w:numPr>
        <w:jc w:val="both"/>
        <w:rPr>
          <w:rFonts w:ascii="Arial" w:hAnsi="Arial" w:cs="Arial"/>
        </w:rPr>
      </w:pPr>
      <w:r>
        <w:rPr>
          <w:rFonts w:ascii="Arial" w:hAnsi="Arial"/>
        </w:rPr>
        <w:t xml:space="preserve">indiquer quelle décision </w:t>
      </w:r>
      <w:r w:rsidR="0070107F">
        <w:rPr>
          <w:rFonts w:ascii="Arial" w:hAnsi="Arial"/>
        </w:rPr>
        <w:t>est demandée</w:t>
      </w:r>
      <w:r>
        <w:rPr>
          <w:rFonts w:ascii="Arial" w:hAnsi="Arial"/>
        </w:rPr>
        <w:t>, et</w:t>
      </w:r>
    </w:p>
    <w:p w14:paraId="61061DC8" w14:textId="21FD8F3C" w:rsidR="00BE06F5" w:rsidRPr="00F96023" w:rsidRDefault="00BE06F5" w:rsidP="00163120">
      <w:pPr>
        <w:pStyle w:val="Paragraphedeliste"/>
        <w:numPr>
          <w:ilvl w:val="0"/>
          <w:numId w:val="3"/>
        </w:numPr>
        <w:spacing w:after="60"/>
        <w:jc w:val="both"/>
        <w:rPr>
          <w:rFonts w:ascii="Arial" w:hAnsi="Arial" w:cs="Arial"/>
        </w:rPr>
      </w:pPr>
      <w:r>
        <w:rPr>
          <w:rFonts w:ascii="Arial" w:hAnsi="Arial"/>
        </w:rPr>
        <w:t>exposer les raisons pour lesquelles cette autre décision est demandée.</w:t>
      </w:r>
    </w:p>
    <w:p w14:paraId="587C8B07" w14:textId="77777777" w:rsidR="00F96023" w:rsidRDefault="00F96023" w:rsidP="00163120">
      <w:pPr>
        <w:spacing w:after="60"/>
        <w:jc w:val="both"/>
        <w:rPr>
          <w:rFonts w:ascii="Arial" w:hAnsi="Arial" w:cs="Arial"/>
        </w:rPr>
      </w:pPr>
    </w:p>
    <w:p w14:paraId="42B16BD4" w14:textId="544E3CBA" w:rsidR="00BE06F5" w:rsidRPr="00F96023" w:rsidRDefault="00BE06F5" w:rsidP="00163120">
      <w:pPr>
        <w:spacing w:after="60"/>
        <w:jc w:val="both"/>
        <w:rPr>
          <w:rFonts w:ascii="Arial" w:hAnsi="Arial" w:cs="Arial"/>
        </w:rPr>
      </w:pPr>
      <w:r>
        <w:rPr>
          <w:rFonts w:ascii="Arial" w:hAnsi="Arial"/>
        </w:rPr>
        <w:t>Il ne sera pas entré en matière sur un recours qui ne répond pas aux exigences mentionnées.</w:t>
      </w:r>
    </w:p>
    <w:p w14:paraId="2B828C9E" w14:textId="45CE6F4A" w:rsidR="00BE06F5" w:rsidRPr="00F96023" w:rsidRDefault="00BE06F5" w:rsidP="00163120">
      <w:pPr>
        <w:spacing w:after="60"/>
        <w:jc w:val="both"/>
        <w:rPr>
          <w:rFonts w:ascii="Arial" w:hAnsi="Arial" w:cs="Arial"/>
        </w:rPr>
      </w:pPr>
      <w:r>
        <w:rPr>
          <w:rFonts w:ascii="Arial" w:hAnsi="Arial"/>
        </w:rPr>
        <w:t>La décision contestée doit être mentionnée, les éventuels moyens de preuve doivent être indiqués et, dans la mesure du possible, joints en annexe. Le recours doit être signé.</w:t>
      </w:r>
    </w:p>
    <w:p w14:paraId="4A5952C1" w14:textId="1B904333" w:rsidR="00BE06F5" w:rsidRPr="00F96023" w:rsidRDefault="00BE06F5" w:rsidP="00163120">
      <w:pPr>
        <w:jc w:val="both"/>
        <w:rPr>
          <w:rFonts w:ascii="Arial" w:hAnsi="Arial" w:cs="Arial"/>
        </w:rPr>
      </w:pPr>
      <w:r>
        <w:rPr>
          <w:rFonts w:ascii="Arial" w:hAnsi="Arial"/>
        </w:rPr>
        <w:t>La procédure de recours comporte un risque de frais</w:t>
      </w:r>
      <w:r w:rsidR="00FC087B">
        <w:rPr>
          <w:rFonts w:ascii="Arial" w:hAnsi="Arial"/>
        </w:rPr>
        <w:t>, c’est-à-dire que</w:t>
      </w:r>
      <w:r>
        <w:rPr>
          <w:rFonts w:ascii="Arial" w:hAnsi="Arial"/>
        </w:rPr>
        <w:t xml:space="preserve"> la partie perdante doit généralement payer les frais de procédure ainsi que, le cas échéant, les frais d’avocat de la partie adverse.</w:t>
      </w:r>
      <w:bookmarkEnd w:id="0"/>
      <w:bookmarkEnd w:id="3"/>
      <w:bookmarkEnd w:id="4"/>
      <w:bookmarkEnd w:id="5"/>
      <w:bookmarkEnd w:id="6"/>
    </w:p>
    <w:p w14:paraId="390BA0E6" w14:textId="77777777" w:rsidR="00BE06F5" w:rsidRPr="00BA1D9A" w:rsidRDefault="00BE06F5" w:rsidP="00BE06F5">
      <w:pPr>
        <w:pStyle w:val="En-tte"/>
        <w:tabs>
          <w:tab w:val="left" w:pos="1701"/>
        </w:tabs>
        <w:jc w:val="left"/>
      </w:pPr>
    </w:p>
    <w:p w14:paraId="29FBE9A6" w14:textId="77777777" w:rsidR="00BE06F5" w:rsidRPr="00BE06F5" w:rsidRDefault="00BE06F5" w:rsidP="00BE06F5">
      <w:pPr>
        <w:spacing w:after="0" w:line="240" w:lineRule="auto"/>
        <w:rPr>
          <w:rFonts w:ascii="Arial" w:hAnsi="Arial" w:cs="Arial"/>
        </w:rPr>
      </w:pPr>
    </w:p>
    <w:sectPr w:rsidR="00BE06F5" w:rsidRPr="00BE06F5" w:rsidSect="0070107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8659" w14:textId="77777777" w:rsidR="00EC1753" w:rsidRDefault="00EC1753" w:rsidP="00EC1753">
      <w:pPr>
        <w:spacing w:after="0" w:line="240" w:lineRule="auto"/>
      </w:pPr>
      <w:r>
        <w:separator/>
      </w:r>
    </w:p>
  </w:endnote>
  <w:endnote w:type="continuationSeparator" w:id="0">
    <w:p w14:paraId="5795D955" w14:textId="77777777" w:rsidR="00EC1753" w:rsidRDefault="00EC1753" w:rsidP="00EC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E9CD" w14:textId="77777777" w:rsidR="00EC1753" w:rsidRDefault="00EC1753" w:rsidP="00EC1753">
      <w:pPr>
        <w:spacing w:after="0" w:line="240" w:lineRule="auto"/>
      </w:pPr>
      <w:r>
        <w:separator/>
      </w:r>
    </w:p>
  </w:footnote>
  <w:footnote w:type="continuationSeparator" w:id="0">
    <w:p w14:paraId="5B9D14F9" w14:textId="77777777" w:rsidR="00EC1753" w:rsidRDefault="00EC1753" w:rsidP="00EC1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957A" w14:textId="0F305D25" w:rsidR="00EC1753" w:rsidRPr="00970E89" w:rsidRDefault="00970E89" w:rsidP="00970E89">
    <w:pPr>
      <w:spacing w:after="0" w:line="240" w:lineRule="auto"/>
      <w:rPr>
        <w:rFonts w:ascii="Arial" w:hAnsi="Arial" w:cs="Arial"/>
        <w:i/>
        <w:iCs/>
        <w:sz w:val="20"/>
        <w:szCs w:val="20"/>
        <w:lang w:val="de-DE"/>
      </w:rPr>
    </w:pPr>
    <w:r w:rsidRPr="00970E89">
      <w:rPr>
        <w:rFonts w:ascii="Arial" w:hAnsi="Arial" w:cs="Arial"/>
        <w:i/>
        <w:iCs/>
        <w:sz w:val="20"/>
        <w:szCs w:val="20"/>
        <w:lang w:val="de-DE"/>
      </w:rPr>
      <w:t xml:space="preserve">J8 </w:t>
    </w:r>
    <w:r>
      <w:rPr>
        <w:rFonts w:ascii="Arial" w:hAnsi="Arial" w:cs="Arial"/>
        <w:i/>
        <w:iCs/>
        <w:sz w:val="20"/>
        <w:szCs w:val="20"/>
        <w:lang w:val="de-DE"/>
      </w:rPr>
      <w:t>-</w:t>
    </w:r>
    <w:r w:rsidRPr="00970E89">
      <w:rPr>
        <w:rFonts w:ascii="Arial" w:hAnsi="Arial" w:cs="Arial"/>
        <w:i/>
        <w:iCs/>
        <w:sz w:val="20"/>
        <w:szCs w:val="20"/>
        <w:lang w:val="de-DE"/>
      </w:rPr>
      <w:t xml:space="preserve"> Ex. 9b </w:t>
    </w:r>
    <w:r>
      <w:rPr>
        <w:rFonts w:ascii="Arial" w:hAnsi="Arial" w:cs="Arial"/>
        <w:i/>
        <w:iCs/>
        <w:sz w:val="20"/>
        <w:szCs w:val="20"/>
        <w:lang w:val="de-DE"/>
      </w:rPr>
      <w:t>-</w:t>
    </w:r>
    <w:r w:rsidRPr="00970E89">
      <w:rPr>
        <w:rFonts w:ascii="Arial" w:hAnsi="Arial" w:cs="Arial"/>
        <w:i/>
        <w:iCs/>
        <w:sz w:val="20"/>
        <w:szCs w:val="20"/>
        <w:lang w:val="de-DE"/>
      </w:rPr>
      <w:t xml:space="preserve"> </w:t>
    </w:r>
    <w:proofErr w:type="spellStart"/>
    <w:r w:rsidRPr="00970E89">
      <w:rPr>
        <w:rFonts w:ascii="Arial" w:hAnsi="Arial" w:cs="Arial"/>
        <w:i/>
        <w:iCs/>
        <w:sz w:val="20"/>
        <w:szCs w:val="20"/>
        <w:lang w:val="de-DE"/>
      </w:rPr>
      <w:t>Délais</w:t>
    </w:r>
    <w:proofErr w:type="spellEnd"/>
    <w:r w:rsidRPr="00970E89">
      <w:rPr>
        <w:rFonts w:ascii="Arial" w:hAnsi="Arial" w:cs="Arial"/>
        <w:i/>
        <w:iCs/>
        <w:sz w:val="20"/>
        <w:szCs w:val="20"/>
        <w:lang w:val="de-DE"/>
      </w:rPr>
      <w:t xml:space="preserve"> </w:t>
    </w:r>
    <w:r>
      <w:rPr>
        <w:rFonts w:ascii="Arial" w:hAnsi="Arial" w:cs="Arial"/>
        <w:i/>
        <w:iCs/>
        <w:sz w:val="20"/>
        <w:szCs w:val="20"/>
        <w:lang w:val="de-DE"/>
      </w:rPr>
      <w:t>-</w:t>
    </w:r>
    <w:r w:rsidRPr="00970E89">
      <w:rPr>
        <w:rFonts w:ascii="Arial" w:hAnsi="Arial" w:cs="Arial"/>
        <w:i/>
        <w:iCs/>
        <w:sz w:val="20"/>
        <w:szCs w:val="20"/>
        <w:lang w:val="de-DE"/>
      </w:rPr>
      <w:t xml:space="preserve"> Exemple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9B0"/>
    <w:multiLevelType w:val="hybridMultilevel"/>
    <w:tmpl w:val="75C8F13A"/>
    <w:lvl w:ilvl="0" w:tplc="A08EF326">
      <w:start w:val="5"/>
      <w:numFmt w:val="bullet"/>
      <w:lvlText w:val="̶"/>
      <w:lvlJc w:val="left"/>
      <w:pPr>
        <w:ind w:left="720" w:hanging="360"/>
      </w:pPr>
      <w:rPr>
        <w:rFonts w:ascii="Helvetica" w:eastAsiaTheme="minorHAnsi" w:hAnsi="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04A7D0A"/>
    <w:multiLevelType w:val="hybridMultilevel"/>
    <w:tmpl w:val="F38ABB38"/>
    <w:lvl w:ilvl="0" w:tplc="A08EF326">
      <w:start w:val="5"/>
      <w:numFmt w:val="bullet"/>
      <w:lvlText w:val="̶"/>
      <w:lvlJc w:val="left"/>
      <w:pPr>
        <w:ind w:left="720" w:hanging="360"/>
      </w:pPr>
      <w:rPr>
        <w:rFonts w:ascii="Helvetica" w:eastAsiaTheme="minorHAnsi" w:hAnsi="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4E1333B"/>
    <w:multiLevelType w:val="hybridMultilevel"/>
    <w:tmpl w:val="2F8461A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24784980">
    <w:abstractNumId w:val="1"/>
  </w:num>
  <w:num w:numId="2" w16cid:durableId="792215056">
    <w:abstractNumId w:val="0"/>
  </w:num>
  <w:num w:numId="3" w16cid:durableId="2134668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B9"/>
    <w:rsid w:val="00082C46"/>
    <w:rsid w:val="000E7672"/>
    <w:rsid w:val="00163120"/>
    <w:rsid w:val="001F67D8"/>
    <w:rsid w:val="00272C78"/>
    <w:rsid w:val="003B2162"/>
    <w:rsid w:val="00407B10"/>
    <w:rsid w:val="0051641A"/>
    <w:rsid w:val="00625078"/>
    <w:rsid w:val="0070107F"/>
    <w:rsid w:val="00705F8C"/>
    <w:rsid w:val="00787275"/>
    <w:rsid w:val="00835171"/>
    <w:rsid w:val="00843E5C"/>
    <w:rsid w:val="00970E89"/>
    <w:rsid w:val="00A07972"/>
    <w:rsid w:val="00A21EB0"/>
    <w:rsid w:val="00B1084F"/>
    <w:rsid w:val="00BB51B0"/>
    <w:rsid w:val="00BE06F5"/>
    <w:rsid w:val="00BE528A"/>
    <w:rsid w:val="00C24A34"/>
    <w:rsid w:val="00C64E24"/>
    <w:rsid w:val="00D11910"/>
    <w:rsid w:val="00D564A6"/>
    <w:rsid w:val="00DF361E"/>
    <w:rsid w:val="00E47DAF"/>
    <w:rsid w:val="00EC1753"/>
    <w:rsid w:val="00ED0F9A"/>
    <w:rsid w:val="00EE2AB9"/>
    <w:rsid w:val="00F76CAA"/>
    <w:rsid w:val="00F96023"/>
    <w:rsid w:val="00FC08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8FDC"/>
  <w15:chartTrackingRefBased/>
  <w15:docId w15:val="{A36C797F-D750-45D4-82FF-58B5A5B8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2162"/>
    <w:pPr>
      <w:ind w:left="720"/>
      <w:contextualSpacing/>
    </w:pPr>
  </w:style>
  <w:style w:type="table" w:styleId="Grilledutableau">
    <w:name w:val="Table Grid"/>
    <w:basedOn w:val="TableauNormal"/>
    <w:uiPriority w:val="39"/>
    <w:rsid w:val="003B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11910"/>
    <w:rPr>
      <w:sz w:val="16"/>
      <w:szCs w:val="16"/>
    </w:rPr>
  </w:style>
  <w:style w:type="paragraph" w:styleId="Commentaire">
    <w:name w:val="annotation text"/>
    <w:basedOn w:val="Normal"/>
    <w:link w:val="CommentaireCar"/>
    <w:uiPriority w:val="99"/>
    <w:unhideWhenUsed/>
    <w:rsid w:val="00D11910"/>
    <w:pPr>
      <w:spacing w:line="240" w:lineRule="auto"/>
    </w:pPr>
    <w:rPr>
      <w:sz w:val="20"/>
      <w:szCs w:val="20"/>
    </w:rPr>
  </w:style>
  <w:style w:type="character" w:customStyle="1" w:styleId="CommentaireCar">
    <w:name w:val="Commentaire Car"/>
    <w:basedOn w:val="Policepardfaut"/>
    <w:link w:val="Commentaire"/>
    <w:uiPriority w:val="99"/>
    <w:rsid w:val="00D11910"/>
    <w:rPr>
      <w:sz w:val="20"/>
      <w:szCs w:val="20"/>
    </w:rPr>
  </w:style>
  <w:style w:type="paragraph" w:styleId="Objetducommentaire">
    <w:name w:val="annotation subject"/>
    <w:basedOn w:val="Commentaire"/>
    <w:next w:val="Commentaire"/>
    <w:link w:val="ObjetducommentaireCar"/>
    <w:uiPriority w:val="99"/>
    <w:semiHidden/>
    <w:unhideWhenUsed/>
    <w:rsid w:val="00D11910"/>
    <w:rPr>
      <w:b/>
      <w:bCs/>
    </w:rPr>
  </w:style>
  <w:style w:type="character" w:customStyle="1" w:styleId="ObjetducommentaireCar">
    <w:name w:val="Objet du commentaire Car"/>
    <w:basedOn w:val="CommentaireCar"/>
    <w:link w:val="Objetducommentaire"/>
    <w:uiPriority w:val="99"/>
    <w:semiHidden/>
    <w:rsid w:val="00D11910"/>
    <w:rPr>
      <w:b/>
      <w:bCs/>
      <w:sz w:val="20"/>
      <w:szCs w:val="20"/>
    </w:rPr>
  </w:style>
  <w:style w:type="paragraph" w:styleId="Textedebulles">
    <w:name w:val="Balloon Text"/>
    <w:basedOn w:val="Normal"/>
    <w:link w:val="TextedebullesCar"/>
    <w:uiPriority w:val="99"/>
    <w:semiHidden/>
    <w:unhideWhenUsed/>
    <w:rsid w:val="00F76C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CAA"/>
    <w:rPr>
      <w:rFonts w:ascii="Segoe UI" w:hAnsi="Segoe UI" w:cs="Segoe UI"/>
      <w:sz w:val="18"/>
      <w:szCs w:val="18"/>
    </w:rPr>
  </w:style>
  <w:style w:type="paragraph" w:styleId="En-tte">
    <w:name w:val="header"/>
    <w:basedOn w:val="Normal"/>
    <w:link w:val="En-tteCar"/>
    <w:unhideWhenUsed/>
    <w:rsid w:val="00BE06F5"/>
    <w:pPr>
      <w:tabs>
        <w:tab w:val="center" w:pos="4536"/>
        <w:tab w:val="right" w:pos="9072"/>
      </w:tabs>
      <w:spacing w:after="0" w:line="240" w:lineRule="auto"/>
      <w:jc w:val="both"/>
    </w:pPr>
    <w:rPr>
      <w:rFonts w:ascii="Arial" w:hAnsi="Arial"/>
    </w:rPr>
  </w:style>
  <w:style w:type="character" w:customStyle="1" w:styleId="En-tteCar">
    <w:name w:val="En-tête Car"/>
    <w:basedOn w:val="Policepardfaut"/>
    <w:link w:val="En-tte"/>
    <w:rsid w:val="00BE06F5"/>
    <w:rPr>
      <w:rFonts w:ascii="Arial" w:hAnsi="Arial"/>
    </w:rPr>
  </w:style>
  <w:style w:type="paragraph" w:styleId="Rvision">
    <w:name w:val="Revision"/>
    <w:hidden/>
    <w:uiPriority w:val="99"/>
    <w:semiHidden/>
    <w:rsid w:val="00835171"/>
    <w:pPr>
      <w:spacing w:after="0" w:line="240" w:lineRule="auto"/>
    </w:pPr>
  </w:style>
  <w:style w:type="paragraph" w:styleId="Pieddepage">
    <w:name w:val="footer"/>
    <w:basedOn w:val="Normal"/>
    <w:link w:val="PieddepageCar"/>
    <w:uiPriority w:val="99"/>
    <w:unhideWhenUsed/>
    <w:rsid w:val="00EC17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2028</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Baumann</dc:creator>
  <cp:keywords/>
  <dc:description/>
  <cp:lastModifiedBy>Giblaine Laëtitia</cp:lastModifiedBy>
  <cp:revision>14</cp:revision>
  <dcterms:created xsi:type="dcterms:W3CDTF">2023-02-13T21:38:00Z</dcterms:created>
  <dcterms:modified xsi:type="dcterms:W3CDTF">2025-10-27T15:49:00Z</dcterms:modified>
</cp:coreProperties>
</file>